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17 урок</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sz w:val="30"/>
          <w:szCs w:val="30"/>
          <w:rtl w:val="0"/>
        </w:rPr>
        <w:t xml:space="preserve">Электризация</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t xml:space="preserve">Вопросы:</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t xml:space="preserve">-Как появляется на предметах это способность притягивать?</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t xml:space="preserve">-На каких предметах она возникает Из какого вещества Они сделаны?</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t xml:space="preserve">-в чём сходство и отличие этих явлений от изученных прежде магнитных?</w:t>
      </w:r>
      <w:r w:rsidDel="00000000" w:rsidR="00000000" w:rsidRPr="00000000">
        <w:rPr>
          <w:rtl w:val="0"/>
        </w:rPr>
      </w:r>
    </w:p>
    <w:p w:rsidR="00000000" w:rsidDel="00000000" w:rsidP="00000000" w:rsidRDefault="00000000" w:rsidRPr="00000000" w14:paraId="0000000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sz w:val="30"/>
          <w:szCs w:val="30"/>
          <w:rtl w:val="0"/>
        </w:rPr>
        <w:t xml:space="preserve">Электризация</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t xml:space="preserve">Впервые о загадочным действии янтаря узнали ещё в Древней Греции. Фалес описал эффект притяжения янтаря, потёртого о мех. Греческое название янтаря ("ярко-жёлтый") дало имя всем подобным явлениям.</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t xml:space="preserve">Электрический эффект возникает от трения двух тел друг от друга. Такой способ получения электричества носит название электризации трением. Если после натирания наблюдается электрическое действие( перетягивание бумажек, подъём полосок), говорят "тело наэлектризованно". Снять наэлектризованное состояние можно касанием руки или же водой. </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t xml:space="preserve">При касании электризация может передаваться другим делам. Электричество связано с притяжением и отталкиванием. Притяжение возникает между наэлектризованным телом и не наэлектризованным. Отталкивание-между двумя телами, наэлектризованном одним и тем же предметом.</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t xml:space="preserve">Д/З</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t xml:space="preserve">Описать опыты, которые проводились на уроке.</w:t>
      </w:r>
      <w:r w:rsidDel="00000000" w:rsidR="00000000" w:rsidRPr="00000000">
        <w:rPr>
          <w:rtl w:val="0"/>
        </w:rPr>
      </w:r>
    </w:p>
    <w:p w:rsidR="00000000" w:rsidDel="00000000" w:rsidP="00000000" w:rsidRDefault="00000000" w:rsidRPr="00000000" w14:paraId="0000000F">
      <w:pPr>
        <w:spacing w:after="240" w:line="240" w:lineRule="auto"/>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